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Итоги исполнения федерального бюджета по расходам УФК по Тюменской области за 2025 год: </w:t>
      </w:r>
      <w:r>
        <w:rPr>
          <w:rFonts w:ascii="Times New Roman" w:hAnsi="Times New Roman" w:cs="Times New Roman"/>
          <w:b/>
          <w:sz w:val="28"/>
          <w:szCs w:val="28"/>
        </w:rPr>
        <w:t xml:space="preserve">э</w:t>
      </w:r>
      <w:r>
        <w:rPr>
          <w:rFonts w:ascii="Times New Roman" w:hAnsi="Times New Roman" w:cs="Times New Roman"/>
          <w:b/>
          <w:sz w:val="28"/>
          <w:szCs w:val="28"/>
        </w:rPr>
        <w:t xml:space="preserve">ффективность и контроль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казначейство играет ключевую роль в обеспечен</w:t>
      </w:r>
      <w:r>
        <w:rPr>
          <w:rFonts w:ascii="Times New Roman" w:hAnsi="Times New Roman" w:cs="Times New Roman"/>
          <w:sz w:val="28"/>
          <w:szCs w:val="28"/>
        </w:rPr>
        <w:t xml:space="preserve">ии финансовой стабильности и прозрачности бюджетной системы Российской Федерации. Одним из важнейших направлений его деятельности является казначейское обслуживание исполнения федерального бюджета, обеспечение проведения операций по кассовым выплатам, а та</w:t>
      </w:r>
      <w:r>
        <w:rPr>
          <w:rFonts w:ascii="Times New Roman" w:hAnsi="Times New Roman" w:cs="Times New Roman"/>
          <w:sz w:val="28"/>
          <w:szCs w:val="28"/>
        </w:rPr>
        <w:t xml:space="preserve">кже строгий контроль за целевым расходованием средств. Управление Федерального казначейства по Тюменской области (далее – Управление) в полной мере реализует эти функции, обеспечивая эффективное управление государственными финансами на региональном уровне.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>
        <w:rPr>
          <w:rFonts w:ascii="Times New Roman" w:hAnsi="Times New Roman" w:cs="Times New Roman"/>
          <w:sz w:val="28"/>
          <w:szCs w:val="28"/>
        </w:rPr>
        <w:t xml:space="preserve">января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года Управление </w:t>
      </w:r>
      <w:r>
        <w:rPr>
          <w:rFonts w:ascii="Times New Roman" w:hAnsi="Times New Roman" w:cs="Times New Roman"/>
          <w:sz w:val="28"/>
          <w:szCs w:val="28"/>
        </w:rPr>
        <w:t xml:space="preserve">ведет</w:t>
      </w:r>
      <w:r>
        <w:rPr>
          <w:rFonts w:ascii="Times New Roman" w:hAnsi="Times New Roman" w:cs="Times New Roman"/>
          <w:sz w:val="28"/>
          <w:szCs w:val="28"/>
        </w:rPr>
        <w:t xml:space="preserve"> учет операций прямых участников системы казначейских платежей федерального уровня на </w:t>
      </w:r>
      <w:r>
        <w:rPr>
          <w:rFonts w:ascii="Times New Roman" w:hAnsi="Times New Roman" w:cs="Times New Roman"/>
          <w:sz w:val="28"/>
          <w:szCs w:val="28"/>
        </w:rPr>
        <w:t xml:space="preserve">299</w:t>
      </w:r>
      <w:r>
        <w:rPr>
          <w:rFonts w:ascii="Times New Roman" w:hAnsi="Times New Roman" w:cs="Times New Roman"/>
          <w:sz w:val="28"/>
          <w:szCs w:val="28"/>
        </w:rPr>
        <w:t xml:space="preserve"> лицевых счетах. </w:t>
      </w:r>
      <w:r>
        <w:rPr>
          <w:rFonts w:ascii="Times New Roman" w:hAnsi="Times New Roman" w:cs="Times New Roman"/>
          <w:sz w:val="28"/>
          <w:szCs w:val="28"/>
        </w:rPr>
        <w:t xml:space="preserve">Примечательно,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19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(65%) обслуживаются</w:t>
      </w:r>
      <w:r>
        <w:rPr>
          <w:rFonts w:ascii="Times New Roman" w:hAnsi="Times New Roman" w:cs="Times New Roman"/>
          <w:sz w:val="28"/>
          <w:szCs w:val="28"/>
        </w:rPr>
        <w:t xml:space="preserve"> непосредственно отделом расходов Управления, что </w:t>
      </w:r>
      <w:r>
        <w:rPr>
          <w:rFonts w:ascii="Times New Roman" w:hAnsi="Times New Roman" w:cs="Times New Roman"/>
          <w:sz w:val="28"/>
          <w:szCs w:val="28"/>
        </w:rPr>
        <w:t xml:space="preserve">подчеркивает</w:t>
      </w:r>
      <w:r>
        <w:rPr>
          <w:rFonts w:ascii="Times New Roman" w:hAnsi="Times New Roman" w:cs="Times New Roman"/>
          <w:sz w:val="28"/>
          <w:szCs w:val="28"/>
        </w:rPr>
        <w:t xml:space="preserve"> централизованн</w:t>
      </w:r>
      <w:r>
        <w:rPr>
          <w:rFonts w:ascii="Times New Roman" w:hAnsi="Times New Roman" w:cs="Times New Roman"/>
          <w:sz w:val="28"/>
          <w:szCs w:val="28"/>
        </w:rPr>
        <w:t xml:space="preserve">ый</w:t>
      </w:r>
      <w:r>
        <w:rPr>
          <w:rFonts w:ascii="Times New Roman" w:hAnsi="Times New Roman" w:cs="Times New Roman"/>
          <w:sz w:val="28"/>
          <w:szCs w:val="28"/>
        </w:rPr>
        <w:t xml:space="preserve"> подход к управлению значительной частью бюджетных средств. </w:t>
      </w:r>
      <w:r>
        <w:rPr>
          <w:rFonts w:ascii="Times New Roman" w:hAnsi="Times New Roman" w:cs="Times New Roman"/>
          <w:sz w:val="28"/>
          <w:szCs w:val="28"/>
        </w:rPr>
        <w:t xml:space="preserve">Оставшиеся 10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(35%) лицевых</w:t>
      </w:r>
      <w:r>
        <w:rPr>
          <w:rFonts w:ascii="Times New Roman" w:hAnsi="Times New Roman" w:cs="Times New Roman"/>
          <w:sz w:val="28"/>
          <w:szCs w:val="28"/>
        </w:rPr>
        <w:t xml:space="preserve"> счет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находятся на</w:t>
      </w:r>
      <w:r>
        <w:rPr>
          <w:rFonts w:ascii="Times New Roman" w:hAnsi="Times New Roman" w:cs="Times New Roman"/>
          <w:sz w:val="28"/>
          <w:szCs w:val="28"/>
        </w:rPr>
        <w:t xml:space="preserve"> обслужива</w:t>
      </w:r>
      <w:r>
        <w:rPr>
          <w:rFonts w:ascii="Times New Roman" w:hAnsi="Times New Roman" w:cs="Times New Roman"/>
          <w:sz w:val="28"/>
          <w:szCs w:val="28"/>
        </w:rPr>
        <w:t xml:space="preserve">нии</w:t>
      </w:r>
      <w:r>
        <w:rPr>
          <w:rFonts w:ascii="Times New Roman" w:hAnsi="Times New Roman" w:cs="Times New Roman"/>
          <w:sz w:val="28"/>
          <w:szCs w:val="28"/>
        </w:rPr>
        <w:t xml:space="preserve"> в территориальных отделах, что обеспечивает удобство и доступность казначейских услуг для получателей бюджетных средств в различных муниципальных образованиях Тюменской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адресности и целевого характера бюджетных средств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38 Бюджетного кодекса Российской Федерации (далее – БК РФ), устанавливающей принцип адресности и целевого характера бюджетных средств, бюджетные ассигнования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далее – БА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лимиты бюджетных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(далее - ЛБО)</w:t>
      </w:r>
      <w:r>
        <w:rPr>
          <w:rFonts w:ascii="Times New Roman" w:hAnsi="Times New Roman" w:cs="Times New Roman"/>
          <w:sz w:val="28"/>
          <w:szCs w:val="28"/>
        </w:rPr>
        <w:t xml:space="preserve"> доводятся до конкретных получателей бюджетных средств (далее - ПБС) с указанием цели их использования. Это фундаментальный принцип, гарантирующий, что государственные средства расходуются строго по назначению.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ПБС получают </w:t>
      </w:r>
      <w:r>
        <w:rPr>
          <w:rFonts w:ascii="Times New Roman" w:hAnsi="Times New Roman" w:cs="Times New Roman"/>
          <w:sz w:val="28"/>
          <w:szCs w:val="28"/>
        </w:rPr>
        <w:t xml:space="preserve">БА</w:t>
      </w:r>
      <w:r>
        <w:rPr>
          <w:rFonts w:ascii="Times New Roman" w:hAnsi="Times New Roman" w:cs="Times New Roman"/>
          <w:sz w:val="28"/>
          <w:szCs w:val="28"/>
        </w:rPr>
        <w:t xml:space="preserve"> и ЛБО исключительно от главного распорядителя бюдже</w:t>
      </w:r>
      <w:r>
        <w:rPr>
          <w:rFonts w:ascii="Times New Roman" w:hAnsi="Times New Roman" w:cs="Times New Roman"/>
          <w:sz w:val="28"/>
          <w:szCs w:val="28"/>
        </w:rPr>
        <w:t xml:space="preserve">тных средств (далее - ГРБС) или распорядителя бюджетных средств (далее - РБС), в ведении которого они находятся (ст. 38.1 БК РФ). Такая иерархическая структура обеспечивает четкое распределение ответственности и контроль на всех этапах бюджетного процесса.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исполнения своих полномочий по доведению до РБС и ПБС федерального бюджета показателей сводной бюджетной росписи, </w:t>
      </w:r>
      <w:r>
        <w:rPr>
          <w:rFonts w:ascii="Times New Roman" w:hAnsi="Times New Roman" w:cs="Times New Roman"/>
          <w:sz w:val="28"/>
          <w:szCs w:val="28"/>
        </w:rPr>
        <w:t xml:space="preserve">ЛБО</w:t>
      </w:r>
      <w:r>
        <w:rPr>
          <w:rFonts w:ascii="Times New Roman" w:hAnsi="Times New Roman" w:cs="Times New Roman"/>
          <w:sz w:val="28"/>
          <w:szCs w:val="28"/>
        </w:rPr>
        <w:t xml:space="preserve"> и объемов финансирования, Управление за отчетный период обеспечило своевременное доведение ЛБО и БА в значительной сумме – </w:t>
      </w:r>
      <w:r>
        <w:rPr>
          <w:rFonts w:ascii="Times New Roman" w:hAnsi="Times New Roman" w:cs="Times New Roman"/>
          <w:sz w:val="28"/>
          <w:szCs w:val="28"/>
        </w:rPr>
        <w:t xml:space="preserve">44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235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62</w:t>
      </w:r>
      <w:r>
        <w:rPr>
          <w:rFonts w:ascii="Times New Roman" w:hAnsi="Times New Roman" w:cs="Times New Roman"/>
          <w:sz w:val="28"/>
          <w:szCs w:val="28"/>
        </w:rPr>
        <w:t xml:space="preserve"> млн. руб. Это свидетельствует о бесперебойной работе системы и своевременном обеспечении финансовыми ресурсами всех федеральных структур, действующих на территории Тюменской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Оптимизация </w:t>
      </w:r>
      <w:r>
        <w:rPr>
          <w:rFonts w:ascii="Times New Roman" w:hAnsi="Times New Roman" w:cs="Times New Roman"/>
          <w:sz w:val="28"/>
          <w:szCs w:val="28"/>
        </w:rPr>
        <w:t xml:space="preserve">б</w:t>
      </w:r>
      <w:r>
        <w:rPr>
          <w:rFonts w:ascii="Times New Roman" w:hAnsi="Times New Roman" w:cs="Times New Roman"/>
          <w:sz w:val="28"/>
          <w:szCs w:val="28"/>
        </w:rPr>
        <w:t xml:space="preserve">юджетных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асходов: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тзыв 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еиспользуемых ЛБО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 аспектом деятельности Управления является не только доведение, но и эффективное управление бюджетными средствами, включая контроль за их целевым и своевременным использованием. В целях реализации мероприятий, предусмотренны</w:t>
      </w:r>
      <w:r>
        <w:rPr>
          <w:rFonts w:ascii="Times New Roman" w:hAnsi="Times New Roman" w:cs="Times New Roman"/>
          <w:sz w:val="28"/>
          <w:szCs w:val="28"/>
        </w:rPr>
        <w:t xml:space="preserve">х положениями пунктов 9, 12 и 15(2) Постановления Правительства Российской Федерации от 09.12.2017 № 1496 "О мерах по обеспечению исполнения федерального бюджета" (далее – Постановление Правительства РФ № 1496), Управлением проведена работа по отзыву </w:t>
      </w:r>
      <w:r>
        <w:rPr>
          <w:rFonts w:ascii="Times New Roman" w:hAnsi="Times New Roman" w:cs="Times New Roman"/>
          <w:sz w:val="28"/>
          <w:szCs w:val="28"/>
        </w:rPr>
        <w:t xml:space="preserve">неиспользуемых ЛБО. По состоянию на 1 июня 2025 года отозваны следующие объемы ЛБО: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</w:t>
      </w:r>
      <w:r>
        <w:rPr>
          <w:rFonts w:ascii="Times New Roman" w:hAnsi="Times New Roman" w:cs="Times New Roman"/>
          <w:sz w:val="28"/>
          <w:szCs w:val="28"/>
        </w:rPr>
        <w:t xml:space="preserve">о которым отсутствуют поставленные на учет бюджетные обязательства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сумме 24 386,38 руб. Данный шаг направлен на предотвращение нецелевого использования средств и исключение ситуаций, когда выделенные ассигнования остаются невостребованными.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</w:t>
      </w:r>
      <w:r>
        <w:rPr>
          <w:rFonts w:ascii="Times New Roman" w:hAnsi="Times New Roman" w:cs="Times New Roman"/>
          <w:sz w:val="28"/>
          <w:szCs w:val="28"/>
        </w:rPr>
        <w:t xml:space="preserve">ыделенных из резервного фонда Правительства Российской Федерации на оплату принятых и неиспользованных бюджетных обязательств на 1 января 2025 и не освоенных до 1 июня текущего финансового года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сумме 913 439,00 руб. Отзыв этих средств позволяет перенаправить их на более приоритетные нужды и повысить эффективность использования резервных фондов.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Также, в целях реализации мероприятий, предусмотренных пунктом 12.1 постановления Правительства РФ № 1496, в части аннулиров</w:t>
      </w:r>
      <w:r>
        <w:rPr>
          <w:rFonts w:ascii="Times New Roman" w:hAnsi="Times New Roman" w:cs="Times New Roman"/>
          <w:sz w:val="28"/>
          <w:szCs w:val="28"/>
        </w:rPr>
        <w:t xml:space="preserve">ания принимаемых бюджетных обязательств, отозвано ЛБО в сумме 35 833,50 руб. Эти действия подчеркивают стремление Управления к строгому контролю за формированием и исполнением бюджетных обязательств, предотвращая возникновение необоснованных расходов.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Кроме того, в целях обеспечения реализации мероприятий, предусмотренных пунктом 15(1)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остановления Правительства РФ № 1496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отозвано с лицевых счетов, открытых получателям средств федерального бюджета, в том числе при наличии принятых и неисполненных бюджетных обязательств</w:t>
      </w:r>
      <w:r>
        <w:rPr>
          <w:rFonts w:ascii="Calibri" w:hAnsi="Calibri" w:eastAsia="Calibri" w:cs="Calibri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ЛБО в сумме 5 623 244,20 руб., а также принятых подведомственными им получателями средств федерального бюджета бюджетных обязательств, связанных с осуществлением закупок товаров, работ, услуг, бюджетных обязательств, свя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занных с предоставлением из федерального бюджета бюджетам субъектов Российской Федерации субсидий, иных межбюджетных трансфертов, имеющих целевое назначение, субсидий юридическим лицам в сумме 56 700,00 руб.</w:t>
      </w:r>
      <w:r>
        <w:rPr>
          <w:rFonts w:ascii="Calibri" w:hAnsi="Calibri" w:eastAsia="Calibri" w:cs="Calibri"/>
          <w:sz w:val="22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Бюджетная д</w:t>
      </w:r>
      <w:r>
        <w:rPr>
          <w:rFonts w:ascii="Times New Roman" w:hAnsi="Times New Roman" w:cs="Times New Roman"/>
          <w:sz w:val="28"/>
          <w:szCs w:val="28"/>
        </w:rPr>
        <w:t xml:space="preserve">исциплина и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остановка на 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чет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бязательств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 статьи 219 БК РФ, средства федерального бюджета расходуются в устан</w:t>
      </w:r>
      <w:r>
        <w:rPr>
          <w:rFonts w:ascii="Times New Roman" w:hAnsi="Times New Roman" w:cs="Times New Roman"/>
          <w:sz w:val="28"/>
          <w:szCs w:val="28"/>
        </w:rPr>
        <w:t xml:space="preserve">овленном объеме и на определенные цели ПБС согласно бюджетной смете и классификации расходов бюджетов. Ключевым элементом обеспечения этой дисциплины является постановка на учет обязательств получателей бюджетных средств в органе Федерального казначейства.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1 января 2021 года данная процедура осуществляется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Порядк</w:t>
      </w:r>
      <w:r>
        <w:rPr>
          <w:rFonts w:ascii="Times New Roman" w:hAnsi="Times New Roman" w:cs="Times New Roman"/>
          <w:sz w:val="28"/>
          <w:szCs w:val="28"/>
        </w:rPr>
        <w:t xml:space="preserve">ом</w:t>
      </w:r>
      <w:r>
        <w:rPr>
          <w:rFonts w:ascii="Times New Roman" w:hAnsi="Times New Roman" w:cs="Times New Roman"/>
          <w:sz w:val="28"/>
          <w:szCs w:val="28"/>
        </w:rPr>
        <w:t xml:space="preserve"> учета бюджетных и денежных обязательств получателей средств федерального бюджета территориальными органами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>
        <w:rPr>
          <w:rFonts w:ascii="Times New Roman" w:hAnsi="Times New Roman" w:cs="Times New Roman"/>
          <w:sz w:val="28"/>
          <w:szCs w:val="28"/>
        </w:rPr>
        <w:t xml:space="preserve">приказом Минфина России от 30.10.2020 № 258н (далее – Приказ №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258н). Процесс включает формирование сведений о бюджетном и денежном обязательстве, что обеспечивает прозрачность и контролируемость всех финансовых операций.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Приказа № 258н Управлением проведена значительная работа по постановке на учет бюджетных и денежных обязательств: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</w:t>
      </w:r>
      <w:r>
        <w:rPr>
          <w:rFonts w:ascii="Times New Roman" w:hAnsi="Times New Roman" w:cs="Times New Roman"/>
          <w:sz w:val="28"/>
          <w:szCs w:val="28"/>
        </w:rPr>
        <w:t xml:space="preserve">оставлено на учет </w:t>
      </w:r>
      <w:r>
        <w:rPr>
          <w:rFonts w:ascii="Times New Roman" w:hAnsi="Times New Roman" w:cs="Times New Roman"/>
          <w:sz w:val="28"/>
          <w:szCs w:val="28"/>
        </w:rPr>
        <w:t xml:space="preserve">Сведений о бюджетном обязательстве в сумме </w:t>
      </w:r>
      <w:r>
        <w:rPr>
          <w:rFonts w:ascii="Times New Roman" w:hAnsi="Times New Roman" w:cs="Times New Roman"/>
          <w:sz w:val="28"/>
          <w:szCs w:val="28"/>
        </w:rPr>
        <w:t xml:space="preserve">44 234</w:t>
      </w:r>
      <w:r>
        <w:rPr>
          <w:rFonts w:ascii="Times New Roman" w:hAnsi="Times New Roman" w:cs="Times New Roman"/>
          <w:sz w:val="28"/>
          <w:szCs w:val="28"/>
        </w:rPr>
        <w:t xml:space="preserve">,15</w:t>
      </w:r>
      <w:r>
        <w:rPr>
          <w:rFonts w:ascii="Times New Roman" w:hAnsi="Times New Roman" w:cs="Times New Roman"/>
          <w:sz w:val="28"/>
          <w:szCs w:val="28"/>
        </w:rPr>
        <w:t xml:space="preserve"> млн. руб. Это свидетельствует о том, что значительный объем запланированных </w:t>
      </w:r>
      <w:r>
        <w:rPr>
          <w:rFonts w:ascii="Times New Roman" w:hAnsi="Times New Roman" w:cs="Times New Roman"/>
          <w:sz w:val="28"/>
          <w:szCs w:val="28"/>
        </w:rPr>
        <w:t xml:space="preserve">расходов оформлен надлежащим образом и получил правовое основание для исполнения;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</w:t>
      </w:r>
      <w:r>
        <w:rPr>
          <w:rFonts w:ascii="Times New Roman" w:hAnsi="Times New Roman" w:cs="Times New Roman"/>
          <w:sz w:val="28"/>
          <w:szCs w:val="28"/>
        </w:rPr>
        <w:t xml:space="preserve">оставлено на учет </w:t>
      </w:r>
      <w:r>
        <w:rPr>
          <w:rFonts w:ascii="Times New Roman" w:hAnsi="Times New Roman" w:cs="Times New Roman"/>
          <w:sz w:val="28"/>
          <w:szCs w:val="28"/>
        </w:rPr>
        <w:t xml:space="preserve">Сведений о денежном</w:t>
      </w:r>
      <w:r>
        <w:rPr>
          <w:rFonts w:ascii="Times New Roman" w:hAnsi="Times New Roman" w:cs="Times New Roman"/>
          <w:sz w:val="28"/>
          <w:szCs w:val="28"/>
        </w:rPr>
        <w:t xml:space="preserve"> обязательстве </w:t>
      </w:r>
      <w:r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 xml:space="preserve">44 190</w:t>
      </w:r>
      <w:r>
        <w:rPr>
          <w:rFonts w:ascii="Times New Roman" w:hAnsi="Times New Roman" w:cs="Times New Roman"/>
          <w:sz w:val="28"/>
          <w:szCs w:val="28"/>
        </w:rPr>
        <w:t xml:space="preserve">,00</w:t>
      </w:r>
      <w:r>
        <w:rPr>
          <w:rFonts w:ascii="Times New Roman" w:hAnsi="Times New Roman" w:cs="Times New Roman"/>
          <w:sz w:val="28"/>
          <w:szCs w:val="28"/>
        </w:rPr>
        <w:t xml:space="preserve"> млн. руб. Данный показатель отражает фактическое возникновение денежных обязательств, связанных с исполнением бюджетных обязательств, и является важным индикатором текущей финансовой активности.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уделяется контролю за использованием субсидий, которые являются важным инструментом поддержки различных сфер деятельности. В соответствии с положениями Постановления Правительства Российской Федерации от 30.09.2014 № 999, обес</w:t>
      </w:r>
      <w:r>
        <w:rPr>
          <w:rFonts w:ascii="Times New Roman" w:hAnsi="Times New Roman" w:cs="Times New Roman"/>
          <w:sz w:val="28"/>
          <w:szCs w:val="28"/>
        </w:rPr>
        <w:t xml:space="preserve">печена постановка на учет бюджетных обязательств по заключенным Соглашениям о предоставлении субсидий, иных межбюджетных трансфертов. Эти Соглашения заключаются между ГРБС, осуществляющими предоставление субсидий, иных межбюджетных </w:t>
      </w:r>
      <w:r>
        <w:rPr>
          <w:rFonts w:ascii="Times New Roman" w:hAnsi="Times New Roman" w:cs="Times New Roman"/>
          <w:sz w:val="28"/>
          <w:szCs w:val="28"/>
        </w:rPr>
        <w:t xml:space="preserve">трансфертов, </w:t>
      </w:r>
      <w:r>
        <w:rPr>
          <w:rFonts w:ascii="Times New Roman" w:hAnsi="Times New Roman" w:cs="Times New Roman"/>
          <w:sz w:val="28"/>
          <w:szCs w:val="28"/>
        </w:rPr>
        <w:t xml:space="preserve">и высшим исполнительным органом государственной власти Тюменской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31 декабр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 xml:space="preserve"> года, заключено и поставлено на учет Соглашений на 2025 год на общую сумму </w:t>
      </w:r>
      <w:r>
        <w:rPr>
          <w:rFonts w:ascii="Times New Roman" w:hAnsi="Times New Roman" w:cs="Times New Roman"/>
          <w:sz w:val="28"/>
          <w:szCs w:val="28"/>
        </w:rPr>
        <w:t xml:space="preserve">11 783,13</w:t>
      </w:r>
      <w:r>
        <w:rPr>
          <w:rFonts w:ascii="Times New Roman" w:hAnsi="Times New Roman" w:cs="Times New Roman"/>
          <w:sz w:val="28"/>
          <w:szCs w:val="28"/>
        </w:rPr>
        <w:t xml:space="preserve"> млн. руб.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(из них субсидий – 5 383,96 млн. руб., субвенций – 3 337,01 млн. руб., иных межбюджетных трансфертов – 3 062,16 млн. руб.). 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Санкционирование и кассовое исполнение: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ервые рубежи контроля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Процедура санкционировани</w:t>
      </w:r>
      <w:r>
        <w:rPr>
          <w:rFonts w:ascii="Times New Roman" w:hAnsi="Times New Roman" w:cs="Times New Roman"/>
          <w:sz w:val="28"/>
          <w:szCs w:val="28"/>
        </w:rPr>
        <w:t xml:space="preserve">я является одним из важнейших этапов в системе финансового контроля. Она позволяет убедиться в законности и обоснованности каждой операции до того, как средства будут фактически израсходованы. За 2025 год кассовое исполнение федерального бюджета составило </w:t>
      </w:r>
      <w:r>
        <w:rPr>
          <w:rFonts w:ascii="Times New Roman" w:hAnsi="Times New Roman" w:cs="Times New Roman"/>
          <w:sz w:val="28"/>
          <w:szCs w:val="28"/>
        </w:rPr>
        <w:t xml:space="preserve">44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187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86</w:t>
      </w:r>
      <w:r>
        <w:rPr>
          <w:rFonts w:ascii="Times New Roman" w:hAnsi="Times New Roman" w:cs="Times New Roman"/>
          <w:sz w:val="28"/>
          <w:szCs w:val="28"/>
        </w:rPr>
        <w:t xml:space="preserve"> млн. руб., что составляет </w:t>
      </w:r>
      <w:r>
        <w:rPr>
          <w:rFonts w:ascii="Times New Roman" w:hAnsi="Times New Roman" w:cs="Times New Roman"/>
          <w:sz w:val="28"/>
          <w:szCs w:val="28"/>
        </w:rPr>
        <w:t xml:space="preserve">99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94</w:t>
      </w:r>
      <w:r>
        <w:rPr>
          <w:rFonts w:ascii="Times New Roman" w:hAnsi="Times New Roman" w:cs="Times New Roman"/>
          <w:sz w:val="28"/>
          <w:szCs w:val="28"/>
        </w:rPr>
        <w:t xml:space="preserve">% от доведенных ЛБО. Этот показатель свидет</w:t>
      </w:r>
      <w:r>
        <w:rPr>
          <w:rFonts w:ascii="Times New Roman" w:hAnsi="Times New Roman" w:cs="Times New Roman"/>
          <w:sz w:val="28"/>
          <w:szCs w:val="28"/>
        </w:rPr>
        <w:t xml:space="preserve">ельствует о планомерном и контролируемом расходовании средств, соответствующем утвержденным планам и приоритетам. Ежедневный контроль на этом этапе позволяет оперативно выявлять и корректировать любые отклонения, минимизируя риски нецелевого использования.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Возврат неиспользованных остатков: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ринцип ответственности и эффективности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сведений об операциях с целевыми средствами и представленной информации об объемах остатков целевых ср</w:t>
      </w:r>
      <w:r>
        <w:rPr>
          <w:rFonts w:ascii="Times New Roman" w:hAnsi="Times New Roman" w:cs="Times New Roman"/>
          <w:sz w:val="28"/>
          <w:szCs w:val="28"/>
        </w:rPr>
        <w:t xml:space="preserve">едств, подтвержденных к использованию в 2025 году,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учреждениями по</w:t>
      </w:r>
      <w:r>
        <w:rPr>
          <w:rFonts w:ascii="Times New Roman" w:hAnsi="Times New Roman" w:cs="Times New Roman"/>
          <w:sz w:val="28"/>
          <w:szCs w:val="28"/>
        </w:rPr>
        <w:t xml:space="preserve">дтверждены остатки субсидий целевых средств  в сумме 225,05 млн. руб. Эта процедура позволяет точно определить объем средств, которые могут быть использованы в текущем году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 элементом системы контроля является механизм возврата неиспользованных </w:t>
      </w:r>
      <w:r>
        <w:rPr>
          <w:rFonts w:ascii="Times New Roman" w:hAnsi="Times New Roman" w:cs="Times New Roman"/>
          <w:sz w:val="28"/>
          <w:szCs w:val="28"/>
        </w:rPr>
        <w:t xml:space="preserve">остатков субсидий. В соответствии с положениями пунктов 34 и 35 постановления Правительства РФ № 1496, осуществляется возврат в доход федерального бюджета остатков субсидий, полученных в соответствии с абзацем вторым пункта 1 статьи 78.1 и со статьей 78.2 </w:t>
      </w:r>
      <w:r>
        <w:rPr>
          <w:rFonts w:ascii="Times New Roman" w:hAnsi="Times New Roman" w:cs="Times New Roman"/>
          <w:sz w:val="28"/>
          <w:szCs w:val="28"/>
        </w:rPr>
        <w:t xml:space="preserve">БК РФ</w:t>
      </w:r>
      <w:r>
        <w:rPr>
          <w:rFonts w:ascii="Times New Roman" w:hAnsi="Times New Roman" w:cs="Times New Roman"/>
          <w:sz w:val="28"/>
          <w:szCs w:val="28"/>
        </w:rPr>
        <w:t xml:space="preserve">. Это касается средств, не использованных федеральными бюджетными и автономными учреждениями, федеральными государственными унитарными предприятиями и не подтвержденных их учредителями.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2025 году в доход федерального бюджета перечислено 1,93 млн. руб. неиспользованных остатков целевых субсидий 2024 года. Этот механизм </w:t>
      </w:r>
      <w:r>
        <w:rPr>
          <w:rFonts w:ascii="Times New Roman" w:hAnsi="Times New Roman" w:cs="Times New Roman"/>
          <w:sz w:val="28"/>
          <w:szCs w:val="28"/>
        </w:rPr>
        <w:t xml:space="preserve">стимулирует учреждения к более ответственному и эффективн</w:t>
      </w:r>
      <w:r>
        <w:rPr>
          <w:rFonts w:ascii="Times New Roman" w:hAnsi="Times New Roman" w:cs="Times New Roman"/>
          <w:sz w:val="28"/>
          <w:szCs w:val="28"/>
        </w:rPr>
        <w:t xml:space="preserve">ому планированию своих расходов.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судебных актов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своих полномочий по исполнению судебных актов, предусматривающих обращение взыскания на средства федерального бюджета, Федеральное казначейство продолжает играть ключевую роль в обеспечении законности и финансовой дисциплины.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2025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адрес Управления </w:t>
      </w:r>
      <w:r>
        <w:rPr>
          <w:rFonts w:ascii="Times New Roman" w:hAnsi="Times New Roman" w:cs="Times New Roman"/>
          <w:sz w:val="28"/>
          <w:szCs w:val="28"/>
        </w:rPr>
        <w:t xml:space="preserve">предъявлено </w:t>
      </w:r>
      <w:r>
        <w:rPr>
          <w:rFonts w:ascii="Times New Roman" w:hAnsi="Times New Roman" w:cs="Times New Roman"/>
          <w:sz w:val="28"/>
          <w:szCs w:val="28"/>
        </w:rPr>
        <w:t xml:space="preserve">897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исполнительных документов. Исполнительные документы касаются взыскания денежных средств по обязательствам федеральных казенных учреждений, а также бюджетных и автономных учреждений.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Важно отметить, что не все </w:t>
      </w:r>
      <w:r>
        <w:rPr>
          <w:rFonts w:ascii="Times New Roman" w:hAnsi="Times New Roman" w:cs="Times New Roman"/>
          <w:sz w:val="28"/>
          <w:szCs w:val="28"/>
        </w:rPr>
        <w:t xml:space="preserve">судебные акты</w:t>
      </w:r>
      <w:r>
        <w:rPr>
          <w:rFonts w:ascii="Times New Roman" w:hAnsi="Times New Roman" w:cs="Times New Roman"/>
          <w:sz w:val="28"/>
          <w:szCs w:val="28"/>
        </w:rPr>
        <w:t xml:space="preserve"> исполнены - </w:t>
      </w:r>
      <w:r>
        <w:rPr>
          <w:rFonts w:ascii="Times New Roman" w:hAnsi="Times New Roman" w:cs="Times New Roman"/>
          <w:sz w:val="28"/>
          <w:szCs w:val="28"/>
        </w:rPr>
        <w:t xml:space="preserve">136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исполнительных документа возвращены без исполнения взыскателям или в суды. Причины такого возврата регламентированы пунктами 3, 3.1 и 3.2 статьи 242.1 </w:t>
      </w:r>
      <w:r>
        <w:rPr>
          <w:rFonts w:ascii="Times New Roman" w:hAnsi="Times New Roman" w:cs="Times New Roman"/>
          <w:sz w:val="28"/>
          <w:szCs w:val="28"/>
        </w:rPr>
        <w:t xml:space="preserve">БК РФ</w:t>
      </w:r>
      <w:r>
        <w:rPr>
          <w:rFonts w:ascii="Times New Roman" w:hAnsi="Times New Roman" w:cs="Times New Roman"/>
          <w:sz w:val="28"/>
          <w:szCs w:val="28"/>
        </w:rPr>
        <w:t xml:space="preserve">. Несмотря на наличие возвращенных документов, значительная часть судебных актов успешно реализована. За отчетный период исполнено </w:t>
      </w:r>
      <w:r>
        <w:rPr>
          <w:rFonts w:ascii="Times New Roman" w:hAnsi="Times New Roman" w:cs="Times New Roman"/>
          <w:sz w:val="28"/>
          <w:szCs w:val="28"/>
        </w:rPr>
        <w:t xml:space="preserve">864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исполнительны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. Эта цифра включает в себя как документы, поступившие в </w:t>
      </w:r>
      <w:r>
        <w:rPr>
          <w:rFonts w:ascii="Times New Roman" w:hAnsi="Times New Roman" w:cs="Times New Roman"/>
          <w:sz w:val="28"/>
          <w:szCs w:val="28"/>
        </w:rPr>
        <w:t xml:space="preserve">течении</w:t>
      </w:r>
      <w:r>
        <w:rPr>
          <w:rFonts w:ascii="Times New Roman" w:hAnsi="Times New Roman" w:cs="Times New Roman"/>
          <w:sz w:val="28"/>
          <w:szCs w:val="28"/>
        </w:rPr>
        <w:t xml:space="preserve"> 2025 года, так и те, что находились в остатке неисполненных на 1 января 2025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денежных средств, взысканных в рамках исполнения этих документов, составила </w:t>
      </w:r>
      <w:r>
        <w:rPr>
          <w:rFonts w:ascii="Times New Roman" w:hAnsi="Times New Roman" w:cs="Times New Roman"/>
          <w:sz w:val="28"/>
          <w:szCs w:val="28"/>
        </w:rPr>
        <w:t xml:space="preserve">92,37</w:t>
      </w:r>
      <w:r>
        <w:rPr>
          <w:rFonts w:ascii="Times New Roman" w:hAnsi="Times New Roman" w:cs="Times New Roman"/>
          <w:sz w:val="28"/>
          <w:szCs w:val="28"/>
        </w:rPr>
        <w:t xml:space="preserve"> млн. рублей. Это наглядно демонстрирует финансовую значимость работы </w:t>
      </w:r>
      <w:r>
        <w:rPr>
          <w:rFonts w:ascii="Times New Roman" w:hAnsi="Times New Roman" w:cs="Times New Roman"/>
          <w:sz w:val="28"/>
          <w:szCs w:val="28"/>
        </w:rPr>
        <w:t xml:space="preserve">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данном направлении.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Ежедневный текущий финансовый контроль за расходованием бюджетных средств – это не просто формальност</w:t>
      </w:r>
      <w:r>
        <w:rPr>
          <w:rFonts w:ascii="Times New Roman" w:hAnsi="Times New Roman" w:cs="Times New Roman"/>
          <w:sz w:val="28"/>
          <w:szCs w:val="28"/>
        </w:rPr>
        <w:t xml:space="preserve">ь, а жизненно важный механизм для обеспечения стабильности и развития государства. Он позволяет не только предотвращать неправомерное и нецелевое использование средств, но и повышать эффективность их расходования, обеспечивая максимальную отдачу от каждой </w:t>
      </w:r>
      <w:r>
        <w:rPr>
          <w:rFonts w:ascii="Times New Roman" w:hAnsi="Times New Roman" w:cs="Times New Roman"/>
          <w:sz w:val="28"/>
          <w:szCs w:val="28"/>
        </w:rPr>
        <w:t xml:space="preserve">инвестиции. Комплексный подход, включающий санкционирование, постановку на учет бюджетных обязательств, возврат неиспользованных остатков и подтверждение целевых средств, создает надежную систему защиты бюджетных ресурсов и способствует укреплению доверия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общества к государственным институтам.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Отдел расходов УФК по Тюменской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567" w:bottom="1134" w:left="1134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  <w:jc w:val="center"/>
    </w:pPr>
    <w:fldSimple w:instr="PAGE \* MERGEFORMAT">
      <w:r>
        <w:t xml:space="preserve">1</w:t>
      </w:r>
    </w:fldSimple>
    <w:r/>
    <w:r/>
  </w:p>
  <w:p>
    <w:pPr>
      <w:pStyle w:val="71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8"/>
    <w:next w:val="868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>
    <w:name w:val="Heading 1 Char"/>
    <w:basedOn w:val="869"/>
    <w:link w:val="690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8"/>
    <w:next w:val="868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9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8"/>
    <w:next w:val="868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9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8"/>
    <w:next w:val="868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9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8"/>
    <w:next w:val="868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9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8"/>
    <w:next w:val="868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9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8"/>
    <w:next w:val="868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9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8"/>
    <w:next w:val="868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9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8"/>
    <w:next w:val="868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9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List Paragraph"/>
    <w:basedOn w:val="868"/>
    <w:uiPriority w:val="34"/>
    <w:qFormat/>
    <w:pPr>
      <w:contextualSpacing/>
      <w:ind w:left="720"/>
    </w:pPr>
  </w:style>
  <w:style w:type="paragraph" w:styleId="709">
    <w:name w:val="No Spacing"/>
    <w:uiPriority w:val="1"/>
    <w:qFormat/>
    <w:pPr>
      <w:spacing w:before="0" w:after="0" w:line="240" w:lineRule="auto"/>
    </w:pPr>
  </w:style>
  <w:style w:type="paragraph" w:styleId="710">
    <w:name w:val="Title"/>
    <w:basedOn w:val="868"/>
    <w:next w:val="868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9"/>
    <w:link w:val="710"/>
    <w:uiPriority w:val="10"/>
    <w:rPr>
      <w:sz w:val="48"/>
      <w:szCs w:val="48"/>
    </w:rPr>
  </w:style>
  <w:style w:type="paragraph" w:styleId="712">
    <w:name w:val="Subtitle"/>
    <w:basedOn w:val="868"/>
    <w:next w:val="868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9"/>
    <w:link w:val="712"/>
    <w:uiPriority w:val="11"/>
    <w:rPr>
      <w:sz w:val="24"/>
      <w:szCs w:val="24"/>
    </w:rPr>
  </w:style>
  <w:style w:type="paragraph" w:styleId="714">
    <w:name w:val="Quote"/>
    <w:basedOn w:val="868"/>
    <w:next w:val="868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8"/>
    <w:next w:val="868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8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9"/>
    <w:link w:val="718"/>
    <w:uiPriority w:val="99"/>
  </w:style>
  <w:style w:type="paragraph" w:styleId="720">
    <w:name w:val="Footer"/>
    <w:basedOn w:val="868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9"/>
    <w:link w:val="720"/>
    <w:uiPriority w:val="99"/>
  </w:style>
  <w:style w:type="paragraph" w:styleId="722">
    <w:name w:val="Caption"/>
    <w:basedOn w:val="868"/>
    <w:next w:val="868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869"/>
    <w:link w:val="722"/>
    <w:uiPriority w:val="35"/>
    <w:rPr>
      <w:b/>
      <w:bCs/>
      <w:color w:val="4f81bd" w:themeColor="accent1"/>
      <w:sz w:val="18"/>
      <w:szCs w:val="18"/>
    </w:rPr>
  </w:style>
  <w:style w:type="table" w:styleId="724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basedOn w:val="869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basedOn w:val="869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qFormat/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Ананина Евгения Викторовна</dc:creator>
  <cp:keywords/>
  <dc:description/>
  <cp:lastModifiedBy>Аноним</cp:lastModifiedBy>
  <cp:revision>8</cp:revision>
  <dcterms:created xsi:type="dcterms:W3CDTF">2026-02-17T09:49:00Z</dcterms:created>
  <dcterms:modified xsi:type="dcterms:W3CDTF">2026-02-18T09:45:53Z</dcterms:modified>
</cp:coreProperties>
</file>